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73AA" w14:textId="43AB873B" w:rsidR="00435B8A" w:rsidRPr="008B72E2" w:rsidRDefault="00D61103">
      <w:pPr>
        <w:rPr>
          <w:b/>
          <w:bCs/>
        </w:rPr>
      </w:pPr>
      <w:r>
        <w:rPr>
          <w:b/>
          <w:bCs/>
        </w:rPr>
        <w:t>P</w:t>
      </w:r>
      <w:r w:rsidR="008B72E2" w:rsidRPr="008B72E2">
        <w:rPr>
          <w:b/>
          <w:bCs/>
        </w:rPr>
        <w:t>ositionering</w:t>
      </w:r>
      <w:r w:rsidR="008B72E2">
        <w:rPr>
          <w:b/>
          <w:bCs/>
        </w:rPr>
        <w:t xml:space="preserve"> TKC</w:t>
      </w:r>
      <w:r>
        <w:rPr>
          <w:b/>
          <w:bCs/>
        </w:rPr>
        <w:t xml:space="preserve"> – Kern</w:t>
      </w:r>
      <w:r w:rsidR="005B3602">
        <w:rPr>
          <w:b/>
          <w:bCs/>
        </w:rPr>
        <w:t>gedachte</w:t>
      </w:r>
      <w:r>
        <w:rPr>
          <w:b/>
          <w:bCs/>
        </w:rPr>
        <w:t xml:space="preserve"> voor verenigingsbeleid</w:t>
      </w:r>
    </w:p>
    <w:p w14:paraId="3967240F" w14:textId="587AD39A" w:rsidR="00FF3E62" w:rsidRPr="008B72E2" w:rsidRDefault="00435B8A">
      <w:pPr>
        <w:rPr>
          <w:i/>
          <w:iCs/>
        </w:rPr>
      </w:pPr>
      <w:bookmarkStart w:id="0" w:name="_Hlk138948499"/>
      <w:r w:rsidRPr="008B72E2">
        <w:rPr>
          <w:i/>
          <w:iCs/>
        </w:rPr>
        <w:t xml:space="preserve">De TKC streeft er naar de waardering  voor tribale kunst en </w:t>
      </w:r>
      <w:r w:rsidR="008941C0">
        <w:rPr>
          <w:i/>
          <w:iCs/>
        </w:rPr>
        <w:t xml:space="preserve">tribale </w:t>
      </w:r>
      <w:r w:rsidRPr="008B72E2">
        <w:rPr>
          <w:i/>
          <w:iCs/>
        </w:rPr>
        <w:t>culturen te beleven, te verspreiden en te faciliteren.</w:t>
      </w:r>
    </w:p>
    <w:bookmarkEnd w:id="0"/>
    <w:p w14:paraId="5C980772" w14:textId="4F428C94" w:rsidR="00435B8A" w:rsidRDefault="00435B8A">
      <w:r>
        <w:t>De interesse voor tribale kunst en cultuur kent twee invalshoeken: de antropologische en de kunstzinnige.</w:t>
      </w:r>
    </w:p>
    <w:p w14:paraId="50C215B2" w14:textId="7ABA7CFC" w:rsidR="005B1450" w:rsidRDefault="00435B8A" w:rsidP="005B1450">
      <w:pPr>
        <w:pStyle w:val="Lijstalinea"/>
        <w:numPr>
          <w:ilvl w:val="0"/>
          <w:numId w:val="2"/>
        </w:numPr>
      </w:pPr>
      <w:r>
        <w:t xml:space="preserve">Bij de antropologische invalshoek zijn onze leden vooral geïnteresseerd in </w:t>
      </w:r>
      <w:r w:rsidR="008B72E2">
        <w:t xml:space="preserve">etnografieën, </w:t>
      </w:r>
      <w:r>
        <w:t xml:space="preserve">rituelen, </w:t>
      </w:r>
      <w:r w:rsidR="008B72E2">
        <w:t xml:space="preserve">sociale cultuur, </w:t>
      </w:r>
      <w:r>
        <w:t>religie, gebruiksvoorwerpen e.d. E</w:t>
      </w:r>
      <w:r w:rsidR="008B72E2">
        <w:t>r wordt gestreefd naar een</w:t>
      </w:r>
      <w:r>
        <w:t xml:space="preserve"> zo </w:t>
      </w:r>
      <w:r w:rsidR="008941C0">
        <w:t>integer</w:t>
      </w:r>
      <w:r>
        <w:t xml:space="preserve"> mogelijke benadering van de werkelijkheid</w:t>
      </w:r>
      <w:r w:rsidR="008941C0">
        <w:t xml:space="preserve">. </w:t>
      </w:r>
      <w:r>
        <w:t xml:space="preserve"> </w:t>
      </w:r>
      <w:r w:rsidR="008941C0" w:rsidRPr="005B1450">
        <w:rPr>
          <w:i/>
          <w:iCs/>
        </w:rPr>
        <w:t>A</w:t>
      </w:r>
      <w:r w:rsidRPr="005B1450">
        <w:rPr>
          <w:i/>
          <w:iCs/>
        </w:rPr>
        <w:t>uthenticiteit in de breedste zin van het woord</w:t>
      </w:r>
      <w:r>
        <w:t xml:space="preserve"> - staat centraal. </w:t>
      </w:r>
    </w:p>
    <w:p w14:paraId="1278769A" w14:textId="77777777" w:rsidR="005B1450" w:rsidRDefault="005B1450" w:rsidP="005B1450"/>
    <w:p w14:paraId="37D6A1FC" w14:textId="3CC88CAC" w:rsidR="00435B8A" w:rsidRDefault="00435B8A" w:rsidP="005B1450">
      <w:pPr>
        <w:pStyle w:val="Lijstalinea"/>
        <w:numPr>
          <w:ilvl w:val="0"/>
          <w:numId w:val="2"/>
        </w:numPr>
      </w:pPr>
      <w:r>
        <w:t xml:space="preserve">Bij de kunstzinnige invalshoek zijn onze leden vooral geïnteresseerd in </w:t>
      </w:r>
      <w:r w:rsidRPr="005B1450">
        <w:rPr>
          <w:i/>
          <w:iCs/>
        </w:rPr>
        <w:t>de vormentaal</w:t>
      </w:r>
      <w:r>
        <w:t xml:space="preserve"> van religieuze objecten, van dans, textiel of gebruiksvoorwerpen. </w:t>
      </w:r>
      <w:r w:rsidR="00F70224">
        <w:t xml:space="preserve">Vaak worden vormen los van de </w:t>
      </w:r>
      <w:r w:rsidR="00525477">
        <w:t xml:space="preserve">culturele </w:t>
      </w:r>
      <w:r w:rsidR="00F70224">
        <w:t>context gewaardeerd of gepresenteerd</w:t>
      </w:r>
      <w:r w:rsidR="00525477">
        <w:t xml:space="preserve"> of is de culturele context slecht “dun” aanwezig.</w:t>
      </w:r>
    </w:p>
    <w:p w14:paraId="290F43F9" w14:textId="5B8F2D0E" w:rsidR="00F70224" w:rsidRDefault="00F70224">
      <w:r>
        <w:t>De</w:t>
      </w:r>
      <w:r w:rsidR="00D310A8">
        <w:t xml:space="preserve"> manier</w:t>
      </w:r>
      <w:r w:rsidR="008941C0">
        <w:t xml:space="preserve"> waarop</w:t>
      </w:r>
      <w:r>
        <w:t xml:space="preserve"> deze twee invalshoeken</w:t>
      </w:r>
      <w:r w:rsidR="008941C0">
        <w:t xml:space="preserve"> met elkaar verbonden worden</w:t>
      </w:r>
      <w:r>
        <w:t xml:space="preserve"> </w:t>
      </w:r>
      <w:r w:rsidR="00745E1B">
        <w:t xml:space="preserve">kent een grote diversiteit. </w:t>
      </w:r>
      <w:r w:rsidR="00525477">
        <w:t>D</w:t>
      </w:r>
      <w:r w:rsidR="00C75FA1">
        <w:t>e combinatie van kunstzinnige schoonheid</w:t>
      </w:r>
      <w:r w:rsidR="00D310A8">
        <w:t xml:space="preserve"> en “</w:t>
      </w:r>
      <w:r w:rsidR="00C75FA1">
        <w:t>bewezen</w:t>
      </w:r>
      <w:r w:rsidR="00D310A8">
        <w:t>”</w:t>
      </w:r>
      <w:r w:rsidR="00C75FA1">
        <w:t xml:space="preserve"> authenticiteit </w:t>
      </w:r>
      <w:r w:rsidR="008941C0">
        <w:t xml:space="preserve">een deel van de verzamelaars </w:t>
      </w:r>
      <w:r>
        <w:t>nagestreefd</w:t>
      </w:r>
      <w:r w:rsidR="00C75FA1">
        <w:t>. B</w:t>
      </w:r>
      <w:r w:rsidR="00745E1B">
        <w:t xml:space="preserve">ij anderen staat de vormentaal voorop en is de </w:t>
      </w:r>
      <w:r w:rsidR="00D310A8">
        <w:t xml:space="preserve">culturele </w:t>
      </w:r>
      <w:r w:rsidR="00745E1B">
        <w:t>context wel, maar de authenticiteit</w:t>
      </w:r>
      <w:r w:rsidR="00C75FA1">
        <w:t xml:space="preserve"> minder</w:t>
      </w:r>
      <w:r w:rsidR="00745E1B">
        <w:t xml:space="preserve"> een zaak van aandacht. </w:t>
      </w:r>
      <w:r w:rsidR="00707658">
        <w:t>Bij nog weer anderen staat de kennis over de tribale cultuur voorop en is het object “slechts” een illustratie van de cultuur</w:t>
      </w:r>
      <w:r w:rsidR="00D310A8">
        <w:t xml:space="preserve"> en hoe</w:t>
      </w:r>
      <w:r w:rsidR="00525477">
        <w:t xml:space="preserve">ven objecten </w:t>
      </w:r>
      <w:r w:rsidR="00D310A8">
        <w:t>niet persé mooi te zijn.</w:t>
      </w:r>
    </w:p>
    <w:p w14:paraId="2186A328" w14:textId="18898C9E" w:rsidR="00D34FCA" w:rsidRDefault="00745E1B">
      <w:r>
        <w:t xml:space="preserve">De verbinding tussen deze twee invalshoeken varieert </w:t>
      </w:r>
      <w:r w:rsidR="00D310A8">
        <w:t xml:space="preserve">ook </w:t>
      </w:r>
      <w:r>
        <w:t xml:space="preserve">door de grote onbekendheid met de herkomstgeschiedenis van objecten, sieraden en gebruiksvoorwerpen. Van sommige objecten is door </w:t>
      </w:r>
      <w:r w:rsidR="00D310A8">
        <w:t>de beschikbaarheid van etnografieën, foto’s</w:t>
      </w:r>
      <w:r w:rsidR="00C75FA1">
        <w:t xml:space="preserve">, verwervingsgeschiedenis, </w:t>
      </w:r>
      <w:r>
        <w:t xml:space="preserve">de stijl of </w:t>
      </w:r>
      <w:r w:rsidR="00C75FA1">
        <w:t xml:space="preserve">van </w:t>
      </w:r>
      <w:r>
        <w:t xml:space="preserve">residuen en </w:t>
      </w:r>
      <w:r w:rsidR="00D310A8">
        <w:t>toegevoegde attributen</w:t>
      </w:r>
      <w:r>
        <w:t xml:space="preserve"> vast te stellen dat ze waarschijnlijk echt tribaal gebuikt zijn</w:t>
      </w:r>
      <w:r w:rsidR="00C75FA1">
        <w:t xml:space="preserve">. </w:t>
      </w:r>
      <w:r>
        <w:t xml:space="preserve"> </w:t>
      </w:r>
      <w:r w:rsidR="00C75FA1">
        <w:t>B</w:t>
      </w:r>
      <w:r>
        <w:t>ij veel objecten is</w:t>
      </w:r>
      <w:r w:rsidR="00C75FA1">
        <w:t xml:space="preserve"> dat - ondanks hun kwaliteit - </w:t>
      </w:r>
      <w:r>
        <w:t xml:space="preserve">niet het geval. </w:t>
      </w:r>
      <w:r w:rsidR="00707658">
        <w:t>Met name de allereerste verwerving is meestal onbekend.</w:t>
      </w:r>
    </w:p>
    <w:p w14:paraId="04CDFCD5" w14:textId="7DA08034" w:rsidR="00745E1B" w:rsidRDefault="00D34FCA">
      <w:r>
        <w:t>De diversiteit die door de verbinding tussen deze twee invalshoeken ontstaat leidt ook tot een diversiteit aan geïnteresseerden en verzamelaars. Sommigen streven naar een zo strikt mogelijke authenticiteit en vinden enkel die objecten de moeite waard</w:t>
      </w:r>
      <w:r w:rsidR="005B1450">
        <w:t>. A</w:t>
      </w:r>
      <w:r>
        <w:t>nderen vinden de kunstzinnigheid van de tribale vormentaal belangrijk en hechten minder</w:t>
      </w:r>
      <w:r w:rsidR="001324AD">
        <w:t xml:space="preserve"> (of zelfs helemaal niet)</w:t>
      </w:r>
      <w:r>
        <w:t xml:space="preserve"> aan de zekerheid van een voorgaand tribaal gebruik. Veel verzamelingen, musea, galerieën en exposities herbergen van allerlei</w:t>
      </w:r>
      <w:r w:rsidR="001324AD">
        <w:t xml:space="preserve"> </w:t>
      </w:r>
      <w:r>
        <w:t xml:space="preserve">objecten, van </w:t>
      </w:r>
      <w:r w:rsidR="008272A5">
        <w:t xml:space="preserve">zeker </w:t>
      </w:r>
      <w:r>
        <w:t xml:space="preserve">authentiek </w:t>
      </w:r>
      <w:r w:rsidR="008272A5">
        <w:t>tot twijfel</w:t>
      </w:r>
      <w:r w:rsidR="001324AD">
        <w:t xml:space="preserve"> en</w:t>
      </w:r>
      <w:r w:rsidR="008272A5">
        <w:t xml:space="preserve"> tot niet authentiek, maar wel kunstzinnig. </w:t>
      </w:r>
      <w:r w:rsidR="00AD41E6">
        <w:t xml:space="preserve">Veel tribaal gebruikte objecten zijn helemaal niet mooi, </w:t>
      </w:r>
      <w:r w:rsidR="008272A5">
        <w:t>vaak ook nog aangetast door weersomstandigheden</w:t>
      </w:r>
      <w:r w:rsidR="00D310A8">
        <w:t xml:space="preserve"> of aangevreten door insecten, maar </w:t>
      </w:r>
      <w:r w:rsidR="00AD41E6">
        <w:t>niettemin aantrekkelijk als illustratie bij beschreven rituelen en alledaags gebruik.</w:t>
      </w:r>
    </w:p>
    <w:p w14:paraId="2BC7D1F8" w14:textId="587756D9" w:rsidR="008272A5" w:rsidRDefault="008272A5" w:rsidP="008272A5">
      <w:pPr>
        <w:rPr>
          <w:i/>
          <w:iCs/>
        </w:rPr>
      </w:pPr>
      <w:r w:rsidRPr="008272A5">
        <w:rPr>
          <w:i/>
          <w:iCs/>
        </w:rPr>
        <w:t>Binnen dit spanningsveld</w:t>
      </w:r>
      <w:r w:rsidRPr="008B72E2">
        <w:rPr>
          <w:i/>
          <w:iCs/>
        </w:rPr>
        <w:t xml:space="preserve"> streeft </w:t>
      </w:r>
      <w:r>
        <w:rPr>
          <w:i/>
          <w:iCs/>
        </w:rPr>
        <w:t xml:space="preserve">de TKC </w:t>
      </w:r>
      <w:r w:rsidRPr="008B72E2">
        <w:rPr>
          <w:i/>
          <w:iCs/>
        </w:rPr>
        <w:t>er naar de waardering  voor tribale kunst en culturen te beleven, te verspreiden en te faciliteren.</w:t>
      </w:r>
    </w:p>
    <w:p w14:paraId="127FC851" w14:textId="77777777" w:rsidR="005B1450" w:rsidRDefault="001324AD" w:rsidP="005B1450">
      <w:r>
        <w:t>Bij diverse activiteiten van de TKC hoort om bovenstaande reden een eigen invalshoek</w:t>
      </w:r>
      <w:r w:rsidR="005B1450">
        <w:t>:</w:t>
      </w:r>
    </w:p>
    <w:p w14:paraId="1DE2F7C0" w14:textId="77777777" w:rsidR="005B1450" w:rsidRDefault="001324AD" w:rsidP="005B1450">
      <w:pPr>
        <w:pStyle w:val="Lijstalinea"/>
        <w:numPr>
          <w:ilvl w:val="0"/>
          <w:numId w:val="5"/>
        </w:numPr>
      </w:pPr>
      <w:r>
        <w:t xml:space="preserve">In het kwartaalblad en op de website streven we naar </w:t>
      </w:r>
      <w:r w:rsidR="007B4788">
        <w:t xml:space="preserve">een zo zeker mogelijke </w:t>
      </w:r>
      <w:r>
        <w:t>authenticiteit van de getoonde objecten</w:t>
      </w:r>
      <w:r w:rsidR="00F12A1E">
        <w:t xml:space="preserve">, wetende dat ook daarover met regelmaat discussie ontstaat. </w:t>
      </w:r>
    </w:p>
    <w:p w14:paraId="78FA7870" w14:textId="38513174" w:rsidR="001324AD" w:rsidRDefault="001324AD" w:rsidP="005B1450">
      <w:pPr>
        <w:pStyle w:val="Lijstalinea"/>
        <w:numPr>
          <w:ilvl w:val="0"/>
          <w:numId w:val="5"/>
        </w:numPr>
      </w:pPr>
      <w:r>
        <w:lastRenderedPageBreak/>
        <w:t>Bij activiteiten als huisbezoek en de jaarlijkse verzamelaarsbeurs doen we dat niet, maar maken we duidelijk dat het om een variatie van objecten gaat</w:t>
      </w:r>
      <w:r w:rsidR="007155C6">
        <w:t xml:space="preserve"> en proberen we daarin een voorlichtende rol te spelen, met name als het om prijsstelling gaat.</w:t>
      </w:r>
    </w:p>
    <w:p w14:paraId="5A36714F" w14:textId="306288B0" w:rsidR="001324AD" w:rsidRDefault="001324AD" w:rsidP="008272A5">
      <w:r>
        <w:t>In de journalistieke uitingen gaat de TKC bewust het leerproces aan dat ontstaat uit de confrontatie van kennis uit de koloniale periode en de visies daarop uit de postkoloniale periode. Het betreft hier zowel taalgebruik als</w:t>
      </w:r>
      <w:r w:rsidR="003A7325">
        <w:t xml:space="preserve"> narratieve. </w:t>
      </w:r>
    </w:p>
    <w:p w14:paraId="71793E8B" w14:textId="14D25490" w:rsidR="007155C6" w:rsidRDefault="007155C6" w:rsidP="007155C6">
      <w:pPr>
        <w:pStyle w:val="Normaalweb"/>
        <w:rPr>
          <w:rFonts w:asciiTheme="minorHAnsi" w:hAnsiTheme="minorHAnsi" w:cstheme="minorHAnsi"/>
          <w:color w:val="000000"/>
          <w:sz w:val="22"/>
          <w:szCs w:val="22"/>
        </w:rPr>
      </w:pPr>
      <w:r w:rsidRPr="007155C6">
        <w:rPr>
          <w:rFonts w:asciiTheme="minorHAnsi" w:hAnsiTheme="minorHAnsi" w:cstheme="minorHAnsi"/>
          <w:sz w:val="22"/>
          <w:szCs w:val="22"/>
        </w:rPr>
        <w:t>Bij ruil en handel</w:t>
      </w:r>
      <w:r w:rsidR="007B4788">
        <w:rPr>
          <w:rFonts w:asciiTheme="minorHAnsi" w:hAnsiTheme="minorHAnsi" w:cstheme="minorHAnsi"/>
          <w:sz w:val="22"/>
          <w:szCs w:val="22"/>
        </w:rPr>
        <w:t xml:space="preserve"> in objecten</w:t>
      </w:r>
      <w:r w:rsidRPr="007155C6">
        <w:rPr>
          <w:rFonts w:asciiTheme="minorHAnsi" w:hAnsiTheme="minorHAnsi" w:cstheme="minorHAnsi"/>
          <w:sz w:val="22"/>
          <w:szCs w:val="22"/>
        </w:rPr>
        <w:t xml:space="preserve"> </w:t>
      </w:r>
      <w:r w:rsidR="003A7325">
        <w:rPr>
          <w:rFonts w:asciiTheme="minorHAnsi" w:hAnsiTheme="minorHAnsi" w:cstheme="minorHAnsi"/>
          <w:sz w:val="22"/>
          <w:szCs w:val="22"/>
        </w:rPr>
        <w:t>mogelijk gemaakt binnen de</w:t>
      </w:r>
      <w:r w:rsidRPr="007155C6">
        <w:rPr>
          <w:rFonts w:asciiTheme="minorHAnsi" w:hAnsiTheme="minorHAnsi" w:cstheme="minorHAnsi"/>
          <w:sz w:val="22"/>
          <w:szCs w:val="22"/>
        </w:rPr>
        <w:t xml:space="preserve"> activiteiten </w:t>
      </w:r>
      <w:r w:rsidR="003A7325">
        <w:rPr>
          <w:rFonts w:asciiTheme="minorHAnsi" w:hAnsiTheme="minorHAnsi" w:cstheme="minorHAnsi"/>
          <w:sz w:val="22"/>
          <w:szCs w:val="22"/>
        </w:rPr>
        <w:t>van</w:t>
      </w:r>
      <w:r w:rsidRPr="007155C6">
        <w:rPr>
          <w:rFonts w:asciiTheme="minorHAnsi" w:hAnsiTheme="minorHAnsi" w:cstheme="minorHAnsi"/>
          <w:sz w:val="22"/>
          <w:szCs w:val="22"/>
        </w:rPr>
        <w:t xml:space="preserve"> de TKC </w:t>
      </w:r>
      <w:r w:rsidR="003A7325">
        <w:rPr>
          <w:rFonts w:asciiTheme="minorHAnsi" w:hAnsiTheme="minorHAnsi" w:cstheme="minorHAnsi"/>
          <w:sz w:val="22"/>
          <w:szCs w:val="22"/>
        </w:rPr>
        <w:t xml:space="preserve">zien we </w:t>
      </w:r>
      <w:r w:rsidRPr="007155C6">
        <w:rPr>
          <w:rFonts w:asciiTheme="minorHAnsi" w:hAnsiTheme="minorHAnsi" w:cstheme="minorHAnsi"/>
          <w:sz w:val="22"/>
          <w:szCs w:val="22"/>
        </w:rPr>
        <w:t xml:space="preserve">erop op toe dat het geen objecten betreft die </w:t>
      </w:r>
      <w:r>
        <w:rPr>
          <w:rFonts w:asciiTheme="minorHAnsi" w:hAnsiTheme="minorHAnsi" w:cstheme="minorHAnsi"/>
          <w:color w:val="000000"/>
          <w:sz w:val="22"/>
          <w:szCs w:val="22"/>
        </w:rPr>
        <w:t xml:space="preserve">door </w:t>
      </w:r>
      <w:r w:rsidR="003A7325">
        <w:rPr>
          <w:rFonts w:asciiTheme="minorHAnsi" w:hAnsiTheme="minorHAnsi" w:cstheme="minorHAnsi"/>
          <w:color w:val="000000"/>
          <w:sz w:val="22"/>
          <w:szCs w:val="22"/>
        </w:rPr>
        <w:t xml:space="preserve">wetten en </w:t>
      </w:r>
      <w:r>
        <w:rPr>
          <w:rFonts w:asciiTheme="minorHAnsi" w:hAnsiTheme="minorHAnsi" w:cstheme="minorHAnsi"/>
          <w:color w:val="000000"/>
          <w:sz w:val="22"/>
          <w:szCs w:val="22"/>
        </w:rPr>
        <w:t>verdragen</w:t>
      </w:r>
      <w:r w:rsidR="003A7325">
        <w:rPr>
          <w:rFonts w:asciiTheme="minorHAnsi" w:hAnsiTheme="minorHAnsi" w:cstheme="minorHAnsi"/>
          <w:color w:val="000000"/>
          <w:sz w:val="22"/>
          <w:szCs w:val="22"/>
        </w:rPr>
        <w:t xml:space="preserve"> verboden zijn of om morele redenen evident laakbaar zijn.</w:t>
      </w:r>
    </w:p>
    <w:p w14:paraId="4D31F9CD" w14:textId="2AFFEE03" w:rsidR="00312179" w:rsidRPr="007155C6" w:rsidRDefault="00312179" w:rsidP="007155C6">
      <w:pPr>
        <w:pStyle w:val="Normaalweb"/>
        <w:rPr>
          <w:rFonts w:asciiTheme="minorHAnsi" w:hAnsiTheme="minorHAnsi" w:cstheme="minorHAnsi"/>
          <w:sz w:val="22"/>
          <w:szCs w:val="22"/>
        </w:rPr>
      </w:pPr>
      <w:r>
        <w:rPr>
          <w:rFonts w:asciiTheme="minorHAnsi" w:hAnsiTheme="minorHAnsi" w:cstheme="minorHAnsi"/>
          <w:color w:val="000000"/>
          <w:sz w:val="22"/>
          <w:szCs w:val="22"/>
        </w:rPr>
        <w:t>Juni 2023</w:t>
      </w:r>
    </w:p>
    <w:p w14:paraId="00DFEEB6" w14:textId="53615AEC" w:rsidR="001324AD" w:rsidRPr="001324AD" w:rsidRDefault="001324AD" w:rsidP="008272A5"/>
    <w:p w14:paraId="37344C73" w14:textId="77777777" w:rsidR="001324AD" w:rsidRPr="001324AD" w:rsidRDefault="001324AD" w:rsidP="008272A5"/>
    <w:p w14:paraId="6BA7BEDD" w14:textId="2BCEE313" w:rsidR="008272A5" w:rsidRDefault="008272A5"/>
    <w:sectPr w:rsidR="00827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41EC0"/>
    <w:multiLevelType w:val="hybridMultilevel"/>
    <w:tmpl w:val="2F60F510"/>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030AAF"/>
    <w:multiLevelType w:val="hybridMultilevel"/>
    <w:tmpl w:val="0B2AC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11291C"/>
    <w:multiLevelType w:val="hybridMultilevel"/>
    <w:tmpl w:val="965E24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6E22E4"/>
    <w:multiLevelType w:val="hybridMultilevel"/>
    <w:tmpl w:val="78B898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771AB0"/>
    <w:multiLevelType w:val="hybridMultilevel"/>
    <w:tmpl w:val="20F245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7126704">
    <w:abstractNumId w:val="1"/>
  </w:num>
  <w:num w:numId="2" w16cid:durableId="1368096503">
    <w:abstractNumId w:val="0"/>
  </w:num>
  <w:num w:numId="3" w16cid:durableId="490026543">
    <w:abstractNumId w:val="3"/>
  </w:num>
  <w:num w:numId="4" w16cid:durableId="1653944258">
    <w:abstractNumId w:val="4"/>
  </w:num>
  <w:num w:numId="5" w16cid:durableId="1967810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8A"/>
    <w:rsid w:val="000840D9"/>
    <w:rsid w:val="000B631A"/>
    <w:rsid w:val="001324AD"/>
    <w:rsid w:val="00312179"/>
    <w:rsid w:val="003A7325"/>
    <w:rsid w:val="00435B8A"/>
    <w:rsid w:val="00525477"/>
    <w:rsid w:val="00545DD4"/>
    <w:rsid w:val="005B1450"/>
    <w:rsid w:val="005B3602"/>
    <w:rsid w:val="00707658"/>
    <w:rsid w:val="007155C6"/>
    <w:rsid w:val="00745E1B"/>
    <w:rsid w:val="00756B43"/>
    <w:rsid w:val="007B4788"/>
    <w:rsid w:val="00820A8C"/>
    <w:rsid w:val="008272A5"/>
    <w:rsid w:val="00841278"/>
    <w:rsid w:val="008941C0"/>
    <w:rsid w:val="008B72E2"/>
    <w:rsid w:val="009B2DE3"/>
    <w:rsid w:val="00AD41E6"/>
    <w:rsid w:val="00BA7334"/>
    <w:rsid w:val="00C01A0B"/>
    <w:rsid w:val="00C04AB5"/>
    <w:rsid w:val="00C75FA1"/>
    <w:rsid w:val="00D310A8"/>
    <w:rsid w:val="00D34FCA"/>
    <w:rsid w:val="00D61103"/>
    <w:rsid w:val="00F12A1E"/>
    <w:rsid w:val="00F70224"/>
    <w:rsid w:val="00FF3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9BAE"/>
  <w15:chartTrackingRefBased/>
  <w15:docId w15:val="{9EEF5C35-1316-4703-974A-B69918F2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155C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styleId="Lijstalinea">
    <w:name w:val="List Paragraph"/>
    <w:basedOn w:val="Standaard"/>
    <w:uiPriority w:val="34"/>
    <w:qFormat/>
    <w:rsid w:val="005B1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583</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Kranenburg</dc:creator>
  <cp:keywords/>
  <dc:description/>
  <cp:lastModifiedBy>Dick Kranenburg</cp:lastModifiedBy>
  <cp:revision>4</cp:revision>
  <dcterms:created xsi:type="dcterms:W3CDTF">2023-10-26T14:40:00Z</dcterms:created>
  <dcterms:modified xsi:type="dcterms:W3CDTF">2023-11-07T18:24:00Z</dcterms:modified>
</cp:coreProperties>
</file>